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84945" w14:textId="464D0ED3" w:rsidR="00F21699" w:rsidRDefault="00F21699" w:rsidP="00EF407B">
      <w:pPr>
        <w:spacing w:after="0"/>
        <w:jc w:val="right"/>
        <w:rPr>
          <w:rFonts w:ascii="Times New Roman" w:hAnsi="Times New Roman" w:cs="Times New Roman"/>
          <w:sz w:val="24"/>
          <w:szCs w:val="24"/>
          <w:lang w:val="bg-BG"/>
        </w:rPr>
      </w:pPr>
      <w:bookmarkStart w:id="0" w:name="_GoBack"/>
      <w:bookmarkEnd w:id="0"/>
      <w:r>
        <w:rPr>
          <w:rFonts w:ascii="Times New Roman" w:hAnsi="Times New Roman" w:cs="Times New Roman"/>
          <w:sz w:val="24"/>
          <w:szCs w:val="24"/>
          <w:lang w:val="bg-BG"/>
        </w:rPr>
        <w:t>Приложение № 1</w:t>
      </w:r>
      <w:r w:rsidR="00EF407B">
        <w:rPr>
          <w:rFonts w:ascii="Times New Roman" w:hAnsi="Times New Roman" w:cs="Times New Roman"/>
          <w:sz w:val="24"/>
          <w:szCs w:val="24"/>
          <w:lang w:val="bg-BG"/>
        </w:rPr>
        <w:t>6</w:t>
      </w:r>
      <w:r>
        <w:rPr>
          <w:rFonts w:ascii="Times New Roman" w:hAnsi="Times New Roman" w:cs="Times New Roman"/>
          <w:sz w:val="24"/>
          <w:szCs w:val="24"/>
          <w:lang w:val="bg-BG"/>
        </w:rPr>
        <w:t xml:space="preserve"> </w:t>
      </w:r>
    </w:p>
    <w:p w14:paraId="034FDF7F" w14:textId="77777777" w:rsidR="008A010C" w:rsidRDefault="00F21699" w:rsidP="00F21699">
      <w:pPr>
        <w:jc w:val="right"/>
        <w:rPr>
          <w:rFonts w:ascii="Times New Roman" w:hAnsi="Times New Roman" w:cs="Times New Roman"/>
          <w:sz w:val="24"/>
          <w:szCs w:val="24"/>
          <w:lang w:val="bg-BG"/>
        </w:rPr>
      </w:pPr>
      <w:r>
        <w:rPr>
          <w:rFonts w:ascii="Times New Roman" w:hAnsi="Times New Roman" w:cs="Times New Roman"/>
          <w:sz w:val="24"/>
          <w:szCs w:val="24"/>
          <w:lang w:val="bg-BG"/>
        </w:rPr>
        <w:t>към Условията за кандидатстване</w:t>
      </w:r>
    </w:p>
    <w:p w14:paraId="1D8B1BF1" w14:textId="77777777" w:rsidR="00EF407B" w:rsidRDefault="00EF407B" w:rsidP="008A010C">
      <w:pPr>
        <w:jc w:val="center"/>
        <w:rPr>
          <w:rFonts w:ascii="Times New Roman" w:hAnsi="Times New Roman" w:cs="Times New Roman"/>
          <w:b/>
          <w:sz w:val="24"/>
          <w:szCs w:val="24"/>
          <w:lang w:val="bg-BG"/>
        </w:rPr>
      </w:pPr>
    </w:p>
    <w:p w14:paraId="2A3DAF54" w14:textId="77777777" w:rsidR="007761F5" w:rsidRDefault="008A010C" w:rsidP="008A010C">
      <w:pPr>
        <w:jc w:val="center"/>
        <w:rPr>
          <w:rFonts w:ascii="Times New Roman" w:hAnsi="Times New Roman" w:cs="Times New Roman"/>
          <w:b/>
          <w:sz w:val="24"/>
          <w:szCs w:val="24"/>
          <w:lang w:val="bg-BG"/>
        </w:rPr>
      </w:pPr>
      <w:r w:rsidRPr="008A010C">
        <w:rPr>
          <w:rFonts w:ascii="Times New Roman" w:hAnsi="Times New Roman" w:cs="Times New Roman"/>
          <w:b/>
          <w:sz w:val="24"/>
          <w:szCs w:val="24"/>
          <w:lang w:val="bg-BG"/>
        </w:rPr>
        <w:t>Използвани основни дефиниции</w:t>
      </w:r>
    </w:p>
    <w:p w14:paraId="7E0FD473" w14:textId="37AE1DAC" w:rsidR="00552386" w:rsidRPr="00552386" w:rsidRDefault="001657A7" w:rsidP="00552386">
      <w:pPr>
        <w:widowControl w:val="0"/>
        <w:numPr>
          <w:ilvl w:val="0"/>
          <w:numId w:val="1"/>
        </w:numPr>
        <w:autoSpaceDE w:val="0"/>
        <w:autoSpaceDN w:val="0"/>
        <w:adjustRightInd w:val="0"/>
        <w:spacing w:after="0" w:line="360" w:lineRule="auto"/>
        <w:ind w:left="0" w:firstLine="709"/>
        <w:jc w:val="both"/>
        <w:rPr>
          <w:rFonts w:ascii="Times New Roman" w:eastAsia="Calibri" w:hAnsi="Times New Roman" w:cs="Times New Roman"/>
          <w:sz w:val="24"/>
          <w:szCs w:val="24"/>
          <w:shd w:val="clear" w:color="auto" w:fill="FEFEFE"/>
          <w:lang w:val="bg-BG"/>
        </w:rPr>
      </w:pPr>
      <w:r w:rsidRPr="00552386" w:rsidDel="001657A7">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„Административен договор“ е изрично волеизявление на изпълнителният директор на РА за предоставяне на безвъзмездна финансова помощ със средства по ПРСР 2014 – 2020 г.,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 договор се оформя в писмено споразумение между изпълнителния директор на РА и бенефициента, заместващо издаването на административен акт.</w:t>
      </w:r>
    </w:p>
    <w:p w14:paraId="40562B99" w14:textId="77777777" w:rsidR="00552386" w:rsidRPr="00552386" w:rsidRDefault="00552386" w:rsidP="00552386">
      <w:pPr>
        <w:widowControl w:val="0"/>
        <w:numPr>
          <w:ilvl w:val="0"/>
          <w:numId w:val="1"/>
        </w:numPr>
        <w:autoSpaceDE w:val="0"/>
        <w:autoSpaceDN w:val="0"/>
        <w:adjustRightInd w:val="0"/>
        <w:spacing w:before="240" w:after="240" w:line="360" w:lineRule="auto"/>
        <w:ind w:left="0" w:firstLine="709"/>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„Големи предприятия“ са предприятия, които не изпълняват критериите на чл. 3 от Закона за малките и средните предприятия.</w:t>
      </w:r>
    </w:p>
    <w:p w14:paraId="7426A52A" w14:textId="2548E927" w:rsidR="00F13C40"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„Горски стопани, доставчици на услуги“ са</w:t>
      </w:r>
      <w:r w:rsidR="005D390C">
        <w:rPr>
          <w:rFonts w:ascii="Times New Roman" w:eastAsia="Calibri" w:hAnsi="Times New Roman" w:cs="Times New Roman"/>
          <w:sz w:val="24"/>
          <w:szCs w:val="24"/>
          <w:shd w:val="clear" w:color="auto" w:fill="FEFEFE"/>
          <w:lang w:val="bg-BG"/>
        </w:rPr>
        <w:t xml:space="preserve"> физически лица,</w:t>
      </w:r>
      <w:r w:rsidRPr="00552386">
        <w:rPr>
          <w:rFonts w:ascii="Times New Roman" w:eastAsia="Calibri" w:hAnsi="Times New Roman" w:cs="Times New Roman"/>
          <w:sz w:val="24"/>
          <w:szCs w:val="24"/>
          <w:shd w:val="clear" w:color="auto" w:fill="FEFEFE"/>
          <w:lang w:val="bg-BG"/>
        </w:rPr>
        <w:t xml:space="preserve"> собственици на горски територии, които със закупените от тях машини ще предоставят услуги за стопанисване на горите на други горски стопани, а няма да ги ползват само за собственото си стопанство.</w:t>
      </w:r>
    </w:p>
    <w:p w14:paraId="44D3751B" w14:textId="029752D3" w:rsidR="00552386" w:rsidRPr="00552386" w:rsidRDefault="00F13C40"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Pr>
          <w:rFonts w:ascii="Times New Roman" w:eastAsia="Calibri" w:hAnsi="Times New Roman" w:cs="Times New Roman"/>
          <w:sz w:val="24"/>
          <w:szCs w:val="24"/>
          <w:shd w:val="clear" w:color="auto" w:fill="FEFEFE"/>
          <w:lang w:val="bg-BG"/>
        </w:rPr>
        <w:t>„Горски територии“ са горите, в които ще се извършват отгледните сечи</w:t>
      </w:r>
      <w:r w:rsidR="00552386" w:rsidRPr="00552386">
        <w:rPr>
          <w:rFonts w:ascii="Times New Roman" w:eastAsia="Calibri" w:hAnsi="Times New Roman" w:cs="Times New Roman"/>
          <w:sz w:val="24"/>
          <w:szCs w:val="24"/>
          <w:shd w:val="clear" w:color="auto" w:fill="FEFEFE"/>
          <w:lang w:val="bg-BG"/>
        </w:rPr>
        <w:t xml:space="preserve"> </w:t>
      </w:r>
      <w:r>
        <w:rPr>
          <w:rFonts w:ascii="Times New Roman" w:eastAsia="Calibri" w:hAnsi="Times New Roman" w:cs="Times New Roman"/>
          <w:sz w:val="24"/>
          <w:szCs w:val="24"/>
          <w:shd w:val="clear" w:color="auto" w:fill="FEFEFE"/>
          <w:lang w:val="bg-BG"/>
        </w:rPr>
        <w:t xml:space="preserve">или от които ще се добива дървесина във връзка с изпълнението на дейностите по </w:t>
      </w:r>
      <w:r w:rsidR="00616CBF">
        <w:rPr>
          <w:rFonts w:ascii="Times New Roman" w:eastAsia="Calibri" w:hAnsi="Times New Roman" w:cs="Times New Roman"/>
          <w:sz w:val="24"/>
          <w:szCs w:val="24"/>
          <w:shd w:val="clear" w:color="auto" w:fill="FEFEFE"/>
          <w:lang w:val="bg-BG"/>
        </w:rPr>
        <w:t>т. 1, 2, 3 и 4 от Раздел 13.1 „Допустими дейности“ към Условията за кандидатстване.</w:t>
      </w:r>
    </w:p>
    <w:p w14:paraId="7F40758E" w14:textId="77777777" w:rsidR="00552386" w:rsidRPr="00552386" w:rsidRDefault="00552386" w:rsidP="00552386">
      <w:pPr>
        <w:widowControl w:val="0"/>
        <w:numPr>
          <w:ilvl w:val="0"/>
          <w:numId w:val="1"/>
        </w:numPr>
        <w:autoSpaceDE w:val="0"/>
        <w:autoSpaceDN w:val="0"/>
        <w:adjustRightInd w:val="0"/>
        <w:spacing w:before="240" w:after="24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бенефициенти, предвид постигането на поставените цели в ПРСР.</w:t>
      </w:r>
    </w:p>
    <w:p w14:paraId="66EAC63D"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„Изкуствено създадени условия“ е всяко установено условие по смисъла на чл. 60 от Регламент (ЕС) № 1306/2013.</w:t>
      </w:r>
    </w:p>
    <w:p w14:paraId="57C40387" w14:textId="2DB52BB9" w:rsidR="00552386" w:rsidRPr="00552386" w:rsidRDefault="00552386" w:rsidP="00552386">
      <w:pPr>
        <w:widowControl w:val="0"/>
        <w:numPr>
          <w:ilvl w:val="0"/>
          <w:numId w:val="1"/>
        </w:numPr>
        <w:autoSpaceDE w:val="0"/>
        <w:autoSpaceDN w:val="0"/>
        <w:adjustRightInd w:val="0"/>
        <w:spacing w:before="240" w:after="24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„Икономическа жизнеспособност“ е генерирането на доходи от дейността, гарантиращи устойчивост на </w:t>
      </w:r>
      <w:r w:rsidR="001657A7">
        <w:rPr>
          <w:rFonts w:ascii="Times New Roman" w:eastAsia="Calibri" w:hAnsi="Times New Roman" w:cs="Times New Roman"/>
          <w:sz w:val="24"/>
          <w:szCs w:val="24"/>
          <w:shd w:val="clear" w:color="auto" w:fill="FEFEFE"/>
          <w:lang w:val="bg-BG"/>
        </w:rPr>
        <w:t>стопанството/предприятието</w:t>
      </w:r>
      <w:r w:rsidRPr="00552386">
        <w:rPr>
          <w:rFonts w:ascii="Times New Roman" w:eastAsia="Calibri" w:hAnsi="Times New Roman" w:cs="Times New Roman"/>
          <w:sz w:val="24"/>
          <w:szCs w:val="24"/>
          <w:shd w:val="clear" w:color="auto" w:fill="FEFEFE"/>
          <w:lang w:val="bg-BG"/>
        </w:rPr>
        <w:t xml:space="preserve"> за периода на бизнес плана.</w:t>
      </w:r>
    </w:p>
    <w:p w14:paraId="15C82511" w14:textId="77777777" w:rsidR="00552386" w:rsidRPr="00552386" w:rsidRDefault="00552386" w:rsidP="00552386">
      <w:pPr>
        <w:widowControl w:val="0"/>
        <w:numPr>
          <w:ilvl w:val="0"/>
          <w:numId w:val="1"/>
        </w:numPr>
        <w:autoSpaceDE w:val="0"/>
        <w:autoSpaceDN w:val="0"/>
        <w:adjustRightInd w:val="0"/>
        <w:spacing w:before="240" w:after="24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„Инвестиционен проект” е проект по смисъла на Закона за устройство на територията и Наредба № 4 за обхвата и съдържанието на инвестиционните проекти, предназначен за строителството на обекта/ите, включени в проекта.</w:t>
      </w:r>
    </w:p>
    <w:p w14:paraId="3A42BA8B"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lastRenderedPageBreak/>
        <w:t>„Междинно плащане“ е плащане за обособена част от одобрената и извършена инвестиция.</w:t>
      </w:r>
    </w:p>
    <w:p w14:paraId="2CFB3745"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sidDel="00073778">
        <w:rPr>
          <w:rFonts w:ascii="Times New Roman" w:eastAsia="Calibri" w:hAnsi="Times New Roman" w:cs="Times New Roman"/>
          <w:sz w:val="24"/>
          <w:szCs w:val="24"/>
          <w:shd w:val="clear" w:color="auto" w:fill="FEFEFE"/>
          <w:lang w:val="bg-BG"/>
        </w:rPr>
        <w:t xml:space="preserve"> </w:t>
      </w:r>
      <w:r w:rsidRPr="00552386">
        <w:rPr>
          <w:rFonts w:ascii="Times New Roman" w:eastAsia="Calibri" w:hAnsi="Times New Roman" w:cs="Times New Roman"/>
          <w:sz w:val="24"/>
          <w:szCs w:val="24"/>
          <w:shd w:val="clear" w:color="auto" w:fill="FEFEFE"/>
          <w:lang w:val="bg-BG"/>
        </w:rPr>
        <w:t>„Места по националната екологична мрежа Натура 2000“ са защитените зони по смисъла на чл. 6, ал. 1 от Закона за биологичното разнообразие.</w:t>
      </w:r>
    </w:p>
    <w:p w14:paraId="3C842490"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lang w:val="bg-BG"/>
        </w:rPr>
        <w:t>„Микро, малки и средни предприятия” са предприятия по смисъла на Закона за малките и средните предприятия.</w:t>
      </w:r>
    </w:p>
    <w:p w14:paraId="0128C4C0" w14:textId="44D65C44" w:rsidR="00552386" w:rsidRPr="00552386" w:rsidRDefault="00F13C40"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sidDel="00F13C40">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„Независими оферти“ са оферти, подадени от лица, които не се намират в следната свързаност помежду си или спрямо кандидата:</w:t>
      </w:r>
    </w:p>
    <w:p w14:paraId="1410A343"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а) едното участва в управлението на дружеството на другото;</w:t>
      </w:r>
    </w:p>
    <w:p w14:paraId="5D540CF1"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б) съдружници;</w:t>
      </w:r>
    </w:p>
    <w:p w14:paraId="7C816974"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в) съвместно контролират пряко трето лице;</w:t>
      </w:r>
    </w:p>
    <w:p w14:paraId="0BB77EE1"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г) участват пряко в управлението или капитала на друго лице, поради което между тях могат да се уговарят условия, различни от обичайните;</w:t>
      </w:r>
    </w:p>
    <w:p w14:paraId="198B3B68"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д) едното лице притежава повече от половината от броя на гласовете в общото събрание на другото лице;</w:t>
      </w:r>
    </w:p>
    <w:p w14:paraId="0D72CB11"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е) лицата, чиято дейност се контролира пряко или косвено от трето лице - физическо или юридическо;</w:t>
      </w:r>
    </w:p>
    <w:p w14:paraId="07E50D31"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ж) лицата, едното от които е търговски представител на другото.</w:t>
      </w:r>
    </w:p>
    <w:p w14:paraId="7937C53F"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„Непреодолима сила и извънредни обстоятелства“ са обстоятелства по смисъла на чл. 2, параграф 2 от Регламент (ЕС) № 1306/2013 г.</w:t>
      </w:r>
    </w:p>
    <w:p w14:paraId="6B9707C8"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„Нередност“ означава 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14:paraId="1C127447"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„Обособена част от инвестицията“ е завършен етап на изпълнение на инвестицията, който е обособен и е доведен до самостоятелна степен на завършеност.</w:t>
      </w:r>
    </w:p>
    <w:p w14:paraId="0B037B92"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„Оперативни разходи“ са административните разходи и разходите, свързани с поддръжка и експлоатация на активите.</w:t>
      </w:r>
    </w:p>
    <w:p w14:paraId="1FA85739" w14:textId="52CE864B"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„Отгледни сечи“ са лесовъдска дейност, провеждана от възникването или </w:t>
      </w:r>
      <w:r w:rsidRPr="00552386">
        <w:rPr>
          <w:rFonts w:ascii="Times New Roman" w:eastAsia="Calibri" w:hAnsi="Times New Roman" w:cs="Times New Roman"/>
          <w:sz w:val="24"/>
          <w:szCs w:val="24"/>
          <w:shd w:val="clear" w:color="auto" w:fill="FEFEFE"/>
          <w:lang w:val="bg-BG"/>
        </w:rPr>
        <w:lastRenderedPageBreak/>
        <w:t>създаването на насаждението до достигане на неговата зрялост и се разделят на:</w:t>
      </w:r>
      <w:r w:rsidRPr="00552386">
        <w:rPr>
          <w:rFonts w:ascii="Tahoma" w:eastAsia="Calibri" w:hAnsi="Tahoma" w:cs="Tahoma"/>
          <w:color w:val="000000"/>
          <w:lang w:val="bg-BG" w:eastAsia="bg-BG"/>
        </w:rPr>
        <w:t xml:space="preserve"> </w:t>
      </w:r>
      <w:r w:rsidRPr="00552386">
        <w:rPr>
          <w:rFonts w:ascii="Times New Roman" w:eastAsia="Calibri" w:hAnsi="Times New Roman" w:cs="Times New Roman"/>
          <w:sz w:val="24"/>
          <w:szCs w:val="24"/>
          <w:shd w:val="clear" w:color="auto" w:fill="FEFEFE"/>
          <w:lang w:val="bg-BG"/>
        </w:rPr>
        <w:t>осветления, прочистки, прореждания</w:t>
      </w:r>
      <w:r w:rsidR="00F21699">
        <w:rPr>
          <w:rFonts w:ascii="Times New Roman" w:eastAsia="Calibri" w:hAnsi="Times New Roman" w:cs="Times New Roman"/>
          <w:sz w:val="24"/>
          <w:szCs w:val="24"/>
          <w:shd w:val="clear" w:color="auto" w:fill="FEFEFE"/>
          <w:lang w:val="bg-BG"/>
        </w:rPr>
        <w:t xml:space="preserve"> и</w:t>
      </w:r>
      <w:r w:rsidRPr="00552386">
        <w:rPr>
          <w:rFonts w:ascii="Times New Roman" w:eastAsia="Calibri" w:hAnsi="Times New Roman" w:cs="Times New Roman"/>
          <w:sz w:val="24"/>
          <w:szCs w:val="24"/>
          <w:shd w:val="clear" w:color="auto" w:fill="FEFEFE"/>
          <w:lang w:val="bg-BG"/>
        </w:rPr>
        <w:t xml:space="preserve"> пробирки. </w:t>
      </w:r>
    </w:p>
    <w:p w14:paraId="1826EE9D"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„Подмярка“ е съвкупност от дейности, спомагащи за прилагане приоритетите на ПРСР 2014 - 2020 г. </w:t>
      </w:r>
    </w:p>
    <w:p w14:paraId="289CCCC3"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sidDel="00482EB4">
        <w:rPr>
          <w:rFonts w:ascii="Times New Roman" w:eastAsia="Calibri" w:hAnsi="Times New Roman" w:cs="Times New Roman"/>
          <w:sz w:val="24"/>
          <w:szCs w:val="24"/>
          <w:shd w:val="clear" w:color="auto" w:fill="FEFEFE"/>
          <w:lang w:val="bg-BG"/>
        </w:rPr>
        <w:t xml:space="preserve"> </w:t>
      </w:r>
      <w:r w:rsidRPr="00552386">
        <w:rPr>
          <w:rFonts w:ascii="Times New Roman" w:eastAsia="Calibri" w:hAnsi="Times New Roman" w:cs="Times New Roman"/>
          <w:sz w:val="24"/>
          <w:szCs w:val="24"/>
          <w:shd w:val="clear" w:color="auto" w:fill="FEFEFE"/>
          <w:lang w:val="bg-BG"/>
        </w:rPr>
        <w:t>„Принос в натура“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14:paraId="22681282"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„Пробирка” е отгледна сеч, която се провежда в периода на интензивен растеж на дърветата по диаметър до започване на възобновителна сеч за създаване на условия за нарастването на дърветата с желани стъблени форми по диаметър, както и за подобряване на индивидуалната им жизненост и механична устойчивост.</w:t>
      </w:r>
    </w:p>
    <w:p w14:paraId="0D9ACB83"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„Прореждане” е отгледна сеч, която се провежда в периода на интензивен растеж на дърветата по височина и с нея се контролира броят на дърветата с желани качества, осигуряват се условия за нарастването им по височина и същевременно се подобрява и поддържа стабилността на насажденията.</w:t>
      </w:r>
    </w:p>
    <w:p w14:paraId="067E229B"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„Прочистка” е отгледна сеч, която се провежда от склопяване на насажденията до възрастта, в която започва интензивно нарастване на дърветата по височина. С прочистките се контролират съставът, произходът и качеството на дърветата в насажденията.</w:t>
      </w:r>
    </w:p>
    <w:p w14:paraId="300248C2"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„Проверка на място“ е проверка по смисъла на Регламент (ЕС) № 809/2014.</w:t>
      </w:r>
    </w:p>
    <w:p w14:paraId="62AE1A02"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„Проект“ е формуляр за кандидатстване заедно с 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14:paraId="4C28AF45"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„Процесор” е машина или устройство за първична обработка на обли дървени материали, включваща кастрене и разкройване на цели дървета или стъблени секции.</w:t>
      </w:r>
    </w:p>
    <w:p w14:paraId="4FD8BD29" w14:textId="77777777" w:rsid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w:t>
      </w:r>
      <w:r w:rsidRPr="00552386">
        <w:rPr>
          <w:rFonts w:ascii="Times New Roman" w:eastAsia="Calibri" w:hAnsi="Times New Roman" w:cs="Times New Roman"/>
          <w:sz w:val="24"/>
          <w:szCs w:val="24"/>
          <w:shd w:val="clear" w:color="auto" w:fill="FEFEFE"/>
          <w:lang w:val="bg-BG"/>
        </w:rPr>
        <w:lastRenderedPageBreak/>
        <w:t>или сдружения на една или повече регионални или местни власти ще се разглежда като обществен дял.</w:t>
      </w:r>
    </w:p>
    <w:p w14:paraId="48DDB898" w14:textId="5802CBD4" w:rsidR="009458C8" w:rsidRPr="009458C8" w:rsidRDefault="009458C8" w:rsidP="009458C8">
      <w:pPr>
        <w:pStyle w:val="ListParagraph"/>
        <w:widowControl w:val="0"/>
        <w:numPr>
          <w:ilvl w:val="0"/>
          <w:numId w:val="1"/>
        </w:numPr>
        <w:autoSpaceDE w:val="0"/>
        <w:autoSpaceDN w:val="0"/>
        <w:adjustRightInd w:val="0"/>
        <w:spacing w:line="360" w:lineRule="auto"/>
        <w:ind w:left="0" w:firstLine="709"/>
        <w:jc w:val="both"/>
        <w:rPr>
          <w:rFonts w:ascii="Times New Roman" w:hAnsi="Times New Roman" w:cs="Times New Roman"/>
          <w:sz w:val="24"/>
          <w:szCs w:val="24"/>
          <w:lang w:val="bg-BG"/>
        </w:rPr>
      </w:pPr>
      <w:r w:rsidRPr="009458C8">
        <w:rPr>
          <w:rFonts w:ascii="Times New Roman" w:hAnsi="Times New Roman" w:cs="Times New Roman"/>
          <w:sz w:val="24"/>
          <w:szCs w:val="24"/>
          <w:lang w:val="bg-BG"/>
        </w:rPr>
        <w:t xml:space="preserve"> “Работни места” е средносписъчният брой на персонала, изчислен като сбор от данните за среден списъчен брой на заетите лица, посочени в Част I, Раздел 1 от „Отчета за заетите лица, средствата за работна заплата и други разходи за труд“.</w:t>
      </w:r>
    </w:p>
    <w:p w14:paraId="7CFF6BDE"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„Разходи за консултантски услуги, свързани с подготовка и управление на проекта“ са 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изработка на бизнес</w:t>
      </w:r>
      <w:r w:rsidR="00F21699">
        <w:rPr>
          <w:rFonts w:ascii="Times New Roman" w:eastAsia="Calibri" w:hAnsi="Times New Roman" w:cs="Times New Roman"/>
          <w:sz w:val="24"/>
          <w:szCs w:val="24"/>
          <w:shd w:val="clear" w:color="auto" w:fill="FEFEFE"/>
          <w:lang w:val="bg-BG"/>
        </w:rPr>
        <w:t xml:space="preserve"> </w:t>
      </w:r>
      <w:r w:rsidRPr="00552386">
        <w:rPr>
          <w:rFonts w:ascii="Times New Roman" w:eastAsia="Calibri" w:hAnsi="Times New Roman" w:cs="Times New Roman"/>
          <w:sz w:val="24"/>
          <w:szCs w:val="24"/>
          <w:shd w:val="clear" w:color="auto" w:fill="FEFEFE"/>
          <w:lang w:val="bg-BG"/>
        </w:rPr>
        <w:t>план и подготовка на искането за плащане, включително отчитане и управление на проекта.</w:t>
      </w:r>
    </w:p>
    <w:p w14:paraId="6DDA1CE1"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„Разходи за инвестиции за обикновена подмяна“ са разходи за замяна на активи, които не водят до подобряване на цялостната дейност на кандидата/бенефициента.</w:t>
      </w:r>
    </w:p>
    <w:p w14:paraId="6392E00B"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„Референтни разходи” са цени и пределни стойности, ползвани от </w:t>
      </w:r>
      <w:r w:rsidR="00F21699">
        <w:rPr>
          <w:rFonts w:ascii="Times New Roman" w:eastAsia="Calibri" w:hAnsi="Times New Roman" w:cs="Times New Roman"/>
          <w:sz w:val="24"/>
          <w:szCs w:val="24"/>
          <w:shd w:val="clear" w:color="auto" w:fill="FEFEFE"/>
          <w:lang w:val="bg-BG"/>
        </w:rPr>
        <w:t>ДФЗ-</w:t>
      </w:r>
      <w:r w:rsidRPr="00552386">
        <w:rPr>
          <w:rFonts w:ascii="Times New Roman" w:eastAsia="Calibri" w:hAnsi="Times New Roman" w:cs="Times New Roman"/>
          <w:sz w:val="24"/>
          <w:szCs w:val="24"/>
          <w:shd w:val="clear" w:color="auto" w:fill="FEFEFE"/>
          <w:lang w:val="bg-BG"/>
        </w:rPr>
        <w:t>РА за сравняване при определяне основателността на разходите за различни инвестиции.</w:t>
      </w:r>
    </w:p>
    <w:p w14:paraId="14A9ED07"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„Рефинансиране на лихви“ е възстановяване на извършените разходи за лихви по заеми.</w:t>
      </w:r>
    </w:p>
    <w:p w14:paraId="788916A7" w14:textId="2A31A6BE" w:rsidR="00552386" w:rsidRPr="00552386" w:rsidRDefault="00F13C40"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sidDel="00F13C40">
        <w:rPr>
          <w:rFonts w:ascii="Times New Roman" w:eastAsia="Calibri" w:hAnsi="Times New Roman" w:cs="Times New Roman"/>
          <w:sz w:val="24"/>
          <w:szCs w:val="24"/>
          <w:shd w:val="clear" w:color="auto" w:fill="FEFEFE"/>
          <w:lang w:val="bg-BG"/>
        </w:rPr>
        <w:t xml:space="preserve"> </w:t>
      </w:r>
      <w:r w:rsidR="00552386" w:rsidRPr="00552386">
        <w:rPr>
          <w:rFonts w:ascii="Times New Roman" w:eastAsia="Calibri" w:hAnsi="Times New Roman" w:cs="Times New Roman"/>
          <w:sz w:val="24"/>
          <w:szCs w:val="24"/>
          <w:shd w:val="clear" w:color="auto" w:fill="FEFEFE"/>
          <w:lang w:val="bg-BG"/>
        </w:rPr>
        <w:t xml:space="preserve">„Специализирана горска техника за извоз на дървесина” са въжени линии специализирани горски трактори и приспособени такива.  Специализираните горски трактори са специално конструирани за извозване на цели дървета, стъбла, стъблени секции и сортименти от сечищата до временните складове, имат ударообезопасена кабина и специално технологично оборудване. Според технологичното оборудване, начина на формиране на товара и положението на товара по време на извозването тракторите могат да бъдат: чокерни тркатори - състоящи се от шарнирно съчленена рама с вертикален шарнир, въжена събирателна система, лебедка, арка, щит и булдозерно устройство, които извозват материалите в полунатоварено състояние (чрез влачене); трактори с кониково устройство - състоящи се от шарнирно съчленена рама с вертикален шарнир, хидравличен стрелови манипулатор и конник, който се състои от оребрена греда, на която лягат предните краища на материалите и две хидравлични челюсти. Извозват материалите в полунатоварено състояние; трактори с грайфер -  състоящи се от шарнирно съчленена рама с вертикален шарнир, грайфер, поставен върху къса стрела в задната част на трактора. Извозват предварително събрани (пакетирани) материали в полунатоварено </w:t>
      </w:r>
      <w:r w:rsidR="00552386" w:rsidRPr="00552386">
        <w:rPr>
          <w:rFonts w:ascii="Times New Roman" w:eastAsia="Calibri" w:hAnsi="Times New Roman" w:cs="Times New Roman"/>
          <w:sz w:val="24"/>
          <w:szCs w:val="24"/>
          <w:shd w:val="clear" w:color="auto" w:fill="FEFEFE"/>
          <w:lang w:val="bg-BG"/>
        </w:rPr>
        <w:lastRenderedPageBreak/>
        <w:t>състояние; сортиментни трактори - състоящи се от шарнирно съчленена рама с вертикален шарнир, хидравличен стрелови манипулатор и товарно пространство (ремарке), разположено на задната полурама на трактора. Извозват дървените материали във вид на сортименти, изцяло натоварени върху трактора, без да се влачат по терена</w:t>
      </w:r>
      <w:r w:rsidR="00552386" w:rsidRPr="00552386">
        <w:rPr>
          <w:rFonts w:ascii="Times New Roman" w:eastAsia="Calibri" w:hAnsi="Times New Roman" w:cs="Times New Roman"/>
          <w:sz w:val="24"/>
          <w:szCs w:val="24"/>
          <w:shd w:val="clear" w:color="auto" w:fill="FEFEFE"/>
          <w:lang w:val="ru-RU"/>
        </w:rPr>
        <w:t xml:space="preserve">; </w:t>
      </w:r>
      <w:r w:rsidR="00552386" w:rsidRPr="00552386">
        <w:rPr>
          <w:rFonts w:ascii="Times New Roman" w:eastAsia="Calibri" w:hAnsi="Times New Roman" w:cs="Times New Roman"/>
          <w:sz w:val="24"/>
          <w:szCs w:val="24"/>
          <w:shd w:val="clear" w:color="auto" w:fill="FEFEFE"/>
          <w:lang w:val="bg-BG"/>
        </w:rPr>
        <w:t>сортиментни ремаркета – ремаркето се прикачва към трактор, а технологичното оборудване се състои от хидравличен стерлови манипулатор, монтиран на предната част на ремаркето или на задната част на трактора. Приспособените трактори са селскостопански, но допълнително оборудвани с     въжена събирателна система, лебедка, арка, щит, допълнителни тежести за предния мост, предпазна тръбна рамка за обезопасяване на кабината и метална мрежа за задното стъкло. Въжените линии са: едновъжени и двувъжени, според начина на извозване на дървените материали: за наземно, полувъздушно и въздушно извозване, а според извозното разстояние: късметражни – до 800м и дългометражни – до 2000 м</w:t>
      </w:r>
    </w:p>
    <w:p w14:paraId="3E36EE78"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„Специализирана горска техника за товарене на дървесина” са хидравлични стрелови кранове (товароподемени манипулатори), монтиращи се към трактори или товарни автомобили, челюстни товарачи или челни товарачи, монтиращи се към трактори. </w:t>
      </w:r>
    </w:p>
    <w:p w14:paraId="5C67375A"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„Специализирана горска техника за транспорт на дървесина” са специализирани товарни автомобили за далечен транспорт на дървените материали под формата на сортименти от временните складове, разположени до сечищата до преработвателното предприятие или други крайни потребители. Специализираните автомобили за превоз на сортименти са с нормална проходимост (колесна формула 4х2, 6х2) или с повишена проходимост (колесна формула 6х4, 4х4, 6х6), товарна платформа с предпазна решетка в предната част и климии за задържане на дървените материали. Могат да бъда оборудвани с хидравличен стрелови кран за натоварване и разтоварване, който се разполага между кабината и товарната платформа или в края на платформата, когато автомобилът работи с ремарке.</w:t>
      </w:r>
    </w:p>
    <w:p w14:paraId="7EC355A7"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„Специализирана горска техника и оборудване за сеч” са харвестъри, процесори и моторни триони;</w:t>
      </w:r>
    </w:p>
    <w:p w14:paraId="26B9DF55" w14:textId="77777777" w:rsidR="00552386" w:rsidRPr="00EF407B"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„Средногодишно ползване на дървесина</w:t>
      </w:r>
      <w:r w:rsidRPr="00EF407B">
        <w:rPr>
          <w:rFonts w:ascii="Times New Roman" w:eastAsia="Calibri" w:hAnsi="Times New Roman" w:cs="Times New Roman"/>
          <w:sz w:val="24"/>
          <w:szCs w:val="24"/>
          <w:shd w:val="clear" w:color="auto" w:fill="FEFEFE"/>
          <w:lang w:val="bg-BG"/>
        </w:rPr>
        <w:t xml:space="preserve">“ </w:t>
      </w:r>
      <w:r w:rsidRPr="00EF407B">
        <w:rPr>
          <w:rFonts w:ascii="Times New Roman" w:eastAsia="Calibri" w:hAnsi="Times New Roman" w:cs="Times New Roman"/>
          <w:sz w:val="24"/>
          <w:szCs w:val="24"/>
          <w:lang w:val="bg-BG"/>
        </w:rPr>
        <w:t>е ползването, предвидено в 10 годишния план/програма, разделено на 10.</w:t>
      </w:r>
    </w:p>
    <w:p w14:paraId="3D03F64D"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"Създаване на работни места" е увеличение на средния списъчен брой на персонала, деклариран към датата на кандидатстването, изчислен съгласно Методиката за </w:t>
      </w:r>
      <w:r w:rsidRPr="00552386">
        <w:rPr>
          <w:rFonts w:ascii="Times New Roman" w:eastAsia="Calibri" w:hAnsi="Times New Roman" w:cs="Times New Roman"/>
          <w:sz w:val="24"/>
          <w:szCs w:val="24"/>
          <w:shd w:val="clear" w:color="auto" w:fill="FEFEFE"/>
          <w:lang w:val="bg-BG"/>
        </w:rPr>
        <w:lastRenderedPageBreak/>
        <w:t>изчисляване на списъчния и средния списъчен брой на персонала, утвърдена от Националния статистически институт за отчетен период от една година спрямо месеца, предхождащ подаването на зaявката за окончателно плащане.</w:t>
      </w:r>
    </w:p>
    <w:p w14:paraId="5C0CADBB"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 „Съпоставими оферти“ са оферти, които отговарят на запитването за оферта на кандидата и съдържат:</w:t>
      </w:r>
    </w:p>
    <w:p w14:paraId="6D71BCE4"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а) еднотипни основни технически характеристики - в случаите, когато се кандидатства за разходи за закупуване на техника за преработка на дървесина или за сеч, извоз, товарене и транспорт на дървесина;</w:t>
      </w:r>
    </w:p>
    <w:p w14:paraId="3F686E7D"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 xml:space="preserve">б) общ капацитет на оборудването - в случаите, когато се кандидатства за разходи за закупуване на оборудване; </w:t>
      </w:r>
    </w:p>
    <w:p w14:paraId="24638E66" w14:textId="77777777" w:rsidR="00552386" w:rsidRPr="00552386" w:rsidRDefault="00552386" w:rsidP="00552386">
      <w:pPr>
        <w:widowControl w:val="0"/>
        <w:autoSpaceDE w:val="0"/>
        <w:autoSpaceDN w:val="0"/>
        <w:adjustRightInd w:val="0"/>
        <w:spacing w:after="0" w:line="360" w:lineRule="auto"/>
        <w:ind w:firstLine="426"/>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в) количествено-стойностни сметки - в случаите, когато се кандидатства за разходи за извършване на строително-монтажни работи.</w:t>
      </w:r>
    </w:p>
    <w:p w14:paraId="1A5AA27E"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sidDel="004C4ABE">
        <w:rPr>
          <w:rFonts w:ascii="Times New Roman" w:eastAsia="Calibri" w:hAnsi="Times New Roman" w:cs="Times New Roman"/>
          <w:sz w:val="24"/>
          <w:szCs w:val="24"/>
          <w:shd w:val="clear" w:color="auto" w:fill="FEFEFE"/>
          <w:lang w:val="bg-BG"/>
        </w:rPr>
        <w:t xml:space="preserve"> </w:t>
      </w:r>
      <w:r w:rsidRPr="00552386">
        <w:rPr>
          <w:rFonts w:ascii="Times New Roman" w:eastAsia="Calibri" w:hAnsi="Times New Roman" w:cs="Times New Roman"/>
          <w:sz w:val="24"/>
          <w:szCs w:val="24"/>
          <w:shd w:val="clear" w:color="auto" w:fill="FEFEFE"/>
          <w:lang w:val="bg-BG"/>
        </w:rPr>
        <w:t>„Харвестър” е специализирана горска машина за поваляне, кастрене и разкройване на сортименти на цели дървета.</w:t>
      </w:r>
    </w:p>
    <w:p w14:paraId="22188189" w14:textId="77777777" w:rsidR="00552386" w:rsidRPr="00552386" w:rsidRDefault="00552386" w:rsidP="00552386">
      <w:pPr>
        <w:widowControl w:val="0"/>
        <w:numPr>
          <w:ilvl w:val="0"/>
          <w:numId w:val="1"/>
        </w:numPr>
        <w:autoSpaceDE w:val="0"/>
        <w:autoSpaceDN w:val="0"/>
        <w:adjustRightInd w:val="0"/>
        <w:spacing w:after="0" w:line="360" w:lineRule="auto"/>
        <w:ind w:left="0" w:firstLine="709"/>
        <w:contextualSpacing/>
        <w:jc w:val="both"/>
        <w:rPr>
          <w:rFonts w:ascii="Times New Roman" w:eastAsia="Calibri" w:hAnsi="Times New Roman" w:cs="Times New Roman"/>
          <w:sz w:val="24"/>
          <w:szCs w:val="24"/>
          <w:shd w:val="clear" w:color="auto" w:fill="FEFEFE"/>
          <w:lang w:val="bg-BG"/>
        </w:rPr>
      </w:pPr>
      <w:r w:rsidRPr="00552386">
        <w:rPr>
          <w:rFonts w:ascii="Times New Roman" w:eastAsia="Calibri" w:hAnsi="Times New Roman" w:cs="Times New Roman"/>
          <w:sz w:val="24"/>
          <w:szCs w:val="24"/>
          <w:shd w:val="clear" w:color="auto" w:fill="FEFEFE"/>
          <w:lang w:val="bg-BG"/>
        </w:rPr>
        <w:t>„Частичен отказ за финансиране" е отказът да се финансират част от заявените разходи на кандидата, които са включени в проектното предложение, одобрено за подпомагане по ПРСР 2014 - 2020 г.</w:t>
      </w:r>
    </w:p>
    <w:p w14:paraId="212E1C5E" w14:textId="77777777" w:rsidR="00552386" w:rsidRPr="00EF407B" w:rsidRDefault="00552386" w:rsidP="00552386">
      <w:pPr>
        <w:ind w:firstLine="709"/>
        <w:jc w:val="center"/>
        <w:rPr>
          <w:b/>
        </w:rPr>
      </w:pPr>
    </w:p>
    <w:sectPr w:rsidR="00552386" w:rsidRPr="00EF407B" w:rsidSect="00B85346">
      <w:footerReference w:type="default" r:id="rId7"/>
      <w:pgSz w:w="12240" w:h="15840"/>
      <w:pgMar w:top="1440" w:right="1440" w:bottom="1440" w:left="1440"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A106F" w14:textId="77777777" w:rsidR="009D66B0" w:rsidRDefault="009D66B0" w:rsidP="00B85346">
      <w:pPr>
        <w:spacing w:after="0" w:line="240" w:lineRule="auto"/>
      </w:pPr>
      <w:r>
        <w:separator/>
      </w:r>
    </w:p>
  </w:endnote>
  <w:endnote w:type="continuationSeparator" w:id="0">
    <w:p w14:paraId="7EEB513D" w14:textId="77777777" w:rsidR="009D66B0" w:rsidRDefault="009D66B0" w:rsidP="00B85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141236"/>
      <w:docPartObj>
        <w:docPartGallery w:val="Page Numbers (Bottom of Page)"/>
        <w:docPartUnique/>
      </w:docPartObj>
    </w:sdtPr>
    <w:sdtContent>
      <w:sdt>
        <w:sdtPr>
          <w:id w:val="-1769616900"/>
          <w:docPartObj>
            <w:docPartGallery w:val="Page Numbers (Top of Page)"/>
            <w:docPartUnique/>
          </w:docPartObj>
        </w:sdtPr>
        <w:sdtContent>
          <w:p w14:paraId="66E7276E" w14:textId="01FB7CCF" w:rsidR="00B85346" w:rsidRDefault="00B85346">
            <w:pPr>
              <w:pStyle w:val="Footer"/>
              <w:jc w:val="right"/>
            </w:pPr>
            <w:r w:rsidRPr="00B85346">
              <w:rPr>
                <w:rFonts w:ascii="Times New Roman" w:hAnsi="Times New Roman" w:cs="Times New Roman"/>
                <w:sz w:val="20"/>
                <w:szCs w:val="20"/>
                <w:lang w:val="bg-BG"/>
              </w:rPr>
              <w:t>Стр.</w:t>
            </w:r>
            <w:r w:rsidRPr="00B85346">
              <w:rPr>
                <w:rFonts w:ascii="Times New Roman" w:hAnsi="Times New Roman" w:cs="Times New Roman"/>
                <w:sz w:val="20"/>
                <w:szCs w:val="20"/>
              </w:rPr>
              <w:t xml:space="preserve"> </w:t>
            </w:r>
            <w:r w:rsidRPr="00B85346">
              <w:rPr>
                <w:rFonts w:ascii="Times New Roman" w:hAnsi="Times New Roman" w:cs="Times New Roman"/>
                <w:b/>
                <w:bCs/>
                <w:sz w:val="20"/>
                <w:szCs w:val="20"/>
              </w:rPr>
              <w:fldChar w:fldCharType="begin"/>
            </w:r>
            <w:r w:rsidRPr="00B85346">
              <w:rPr>
                <w:rFonts w:ascii="Times New Roman" w:hAnsi="Times New Roman" w:cs="Times New Roman"/>
                <w:b/>
                <w:bCs/>
                <w:sz w:val="20"/>
                <w:szCs w:val="20"/>
              </w:rPr>
              <w:instrText xml:space="preserve"> PAGE </w:instrText>
            </w:r>
            <w:r w:rsidRPr="00B85346">
              <w:rPr>
                <w:rFonts w:ascii="Times New Roman" w:hAnsi="Times New Roman" w:cs="Times New Roman"/>
                <w:b/>
                <w:bCs/>
                <w:sz w:val="20"/>
                <w:szCs w:val="20"/>
              </w:rPr>
              <w:fldChar w:fldCharType="separate"/>
            </w:r>
            <w:r>
              <w:rPr>
                <w:rFonts w:ascii="Times New Roman" w:hAnsi="Times New Roman" w:cs="Times New Roman"/>
                <w:b/>
                <w:bCs/>
                <w:noProof/>
                <w:sz w:val="20"/>
                <w:szCs w:val="20"/>
              </w:rPr>
              <w:t>1</w:t>
            </w:r>
            <w:r w:rsidRPr="00B85346">
              <w:rPr>
                <w:rFonts w:ascii="Times New Roman" w:hAnsi="Times New Roman" w:cs="Times New Roman"/>
                <w:b/>
                <w:bCs/>
                <w:sz w:val="20"/>
                <w:szCs w:val="20"/>
              </w:rPr>
              <w:fldChar w:fldCharType="end"/>
            </w:r>
            <w:r w:rsidRPr="00B85346">
              <w:rPr>
                <w:rFonts w:ascii="Times New Roman" w:hAnsi="Times New Roman" w:cs="Times New Roman"/>
                <w:sz w:val="20"/>
                <w:szCs w:val="20"/>
              </w:rPr>
              <w:t xml:space="preserve"> </w:t>
            </w:r>
            <w:r w:rsidRPr="00B85346">
              <w:rPr>
                <w:rFonts w:ascii="Times New Roman" w:hAnsi="Times New Roman" w:cs="Times New Roman"/>
                <w:sz w:val="20"/>
                <w:szCs w:val="20"/>
                <w:lang w:val="bg-BG"/>
              </w:rPr>
              <w:t>от</w:t>
            </w:r>
            <w:r w:rsidRPr="00B85346">
              <w:rPr>
                <w:rFonts w:ascii="Times New Roman" w:hAnsi="Times New Roman" w:cs="Times New Roman"/>
                <w:sz w:val="20"/>
                <w:szCs w:val="20"/>
              </w:rPr>
              <w:t xml:space="preserve"> </w:t>
            </w:r>
            <w:r w:rsidRPr="00B85346">
              <w:rPr>
                <w:rFonts w:ascii="Times New Roman" w:hAnsi="Times New Roman" w:cs="Times New Roman"/>
                <w:b/>
                <w:bCs/>
                <w:sz w:val="20"/>
                <w:szCs w:val="20"/>
              </w:rPr>
              <w:fldChar w:fldCharType="begin"/>
            </w:r>
            <w:r w:rsidRPr="00B85346">
              <w:rPr>
                <w:rFonts w:ascii="Times New Roman" w:hAnsi="Times New Roman" w:cs="Times New Roman"/>
                <w:b/>
                <w:bCs/>
                <w:sz w:val="20"/>
                <w:szCs w:val="20"/>
              </w:rPr>
              <w:instrText xml:space="preserve"> NUMPAGES  </w:instrText>
            </w:r>
            <w:r w:rsidRPr="00B85346">
              <w:rPr>
                <w:rFonts w:ascii="Times New Roman" w:hAnsi="Times New Roman" w:cs="Times New Roman"/>
                <w:b/>
                <w:bCs/>
                <w:sz w:val="20"/>
                <w:szCs w:val="20"/>
              </w:rPr>
              <w:fldChar w:fldCharType="separate"/>
            </w:r>
            <w:r>
              <w:rPr>
                <w:rFonts w:ascii="Times New Roman" w:hAnsi="Times New Roman" w:cs="Times New Roman"/>
                <w:b/>
                <w:bCs/>
                <w:noProof/>
                <w:sz w:val="20"/>
                <w:szCs w:val="20"/>
              </w:rPr>
              <w:t>6</w:t>
            </w:r>
            <w:r w:rsidRPr="00B85346">
              <w:rPr>
                <w:rFonts w:ascii="Times New Roman" w:hAnsi="Times New Roman" w:cs="Times New Roman"/>
                <w:b/>
                <w:bCs/>
                <w:sz w:val="20"/>
                <w:szCs w:val="20"/>
              </w:rPr>
              <w:fldChar w:fldCharType="end"/>
            </w:r>
          </w:p>
        </w:sdtContent>
      </w:sdt>
    </w:sdtContent>
  </w:sdt>
  <w:p w14:paraId="1FFD8347" w14:textId="77777777" w:rsidR="00B85346" w:rsidRDefault="00B85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90C02" w14:textId="77777777" w:rsidR="009D66B0" w:rsidRDefault="009D66B0" w:rsidP="00B85346">
      <w:pPr>
        <w:spacing w:after="0" w:line="240" w:lineRule="auto"/>
      </w:pPr>
      <w:r>
        <w:separator/>
      </w:r>
    </w:p>
  </w:footnote>
  <w:footnote w:type="continuationSeparator" w:id="0">
    <w:p w14:paraId="3563C659" w14:textId="77777777" w:rsidR="009D66B0" w:rsidRDefault="009D66B0" w:rsidP="00B853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FF23E7"/>
    <w:multiLevelType w:val="hybridMultilevel"/>
    <w:tmpl w:val="2A9ADD20"/>
    <w:lvl w:ilvl="0" w:tplc="E9EA790A">
      <w:start w:val="1"/>
      <w:numFmt w:val="decimal"/>
      <w:lvlText w:val="%1."/>
      <w:lvlJc w:val="left"/>
      <w:pPr>
        <w:ind w:left="1976" w:hanging="1125"/>
      </w:pPr>
      <w:rPr>
        <w:rFonts w:cs="Times New Roman" w:hint="default"/>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10C"/>
    <w:rsid w:val="001657A7"/>
    <w:rsid w:val="005279A7"/>
    <w:rsid w:val="00552386"/>
    <w:rsid w:val="005D390C"/>
    <w:rsid w:val="00616CBF"/>
    <w:rsid w:val="007761F5"/>
    <w:rsid w:val="008A010C"/>
    <w:rsid w:val="009458C8"/>
    <w:rsid w:val="009D66B0"/>
    <w:rsid w:val="00B85346"/>
    <w:rsid w:val="00EF407B"/>
    <w:rsid w:val="00F13C40"/>
    <w:rsid w:val="00F21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6B44D"/>
  <w15:docId w15:val="{0C66A140-2D9A-4133-A81B-9C3F326D8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58C8"/>
    <w:pPr>
      <w:ind w:left="720"/>
      <w:contextualSpacing/>
    </w:pPr>
  </w:style>
  <w:style w:type="paragraph" w:styleId="BalloonText">
    <w:name w:val="Balloon Text"/>
    <w:basedOn w:val="Normal"/>
    <w:link w:val="BalloonTextChar"/>
    <w:uiPriority w:val="99"/>
    <w:semiHidden/>
    <w:unhideWhenUsed/>
    <w:rsid w:val="00F216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1699"/>
    <w:rPr>
      <w:rFonts w:ascii="Segoe UI" w:hAnsi="Segoe UI" w:cs="Segoe UI"/>
      <w:sz w:val="18"/>
      <w:szCs w:val="18"/>
    </w:rPr>
  </w:style>
  <w:style w:type="character" w:styleId="CommentReference">
    <w:name w:val="annotation reference"/>
    <w:basedOn w:val="DefaultParagraphFont"/>
    <w:uiPriority w:val="99"/>
    <w:semiHidden/>
    <w:unhideWhenUsed/>
    <w:rsid w:val="001657A7"/>
    <w:rPr>
      <w:sz w:val="16"/>
      <w:szCs w:val="16"/>
    </w:rPr>
  </w:style>
  <w:style w:type="paragraph" w:styleId="CommentText">
    <w:name w:val="annotation text"/>
    <w:basedOn w:val="Normal"/>
    <w:link w:val="CommentTextChar"/>
    <w:uiPriority w:val="99"/>
    <w:semiHidden/>
    <w:unhideWhenUsed/>
    <w:rsid w:val="001657A7"/>
    <w:pPr>
      <w:spacing w:line="240" w:lineRule="auto"/>
    </w:pPr>
    <w:rPr>
      <w:sz w:val="20"/>
      <w:szCs w:val="20"/>
    </w:rPr>
  </w:style>
  <w:style w:type="character" w:customStyle="1" w:styleId="CommentTextChar">
    <w:name w:val="Comment Text Char"/>
    <w:basedOn w:val="DefaultParagraphFont"/>
    <w:link w:val="CommentText"/>
    <w:uiPriority w:val="99"/>
    <w:semiHidden/>
    <w:rsid w:val="001657A7"/>
    <w:rPr>
      <w:sz w:val="20"/>
      <w:szCs w:val="20"/>
    </w:rPr>
  </w:style>
  <w:style w:type="paragraph" w:styleId="CommentSubject">
    <w:name w:val="annotation subject"/>
    <w:basedOn w:val="CommentText"/>
    <w:next w:val="CommentText"/>
    <w:link w:val="CommentSubjectChar"/>
    <w:uiPriority w:val="99"/>
    <w:semiHidden/>
    <w:unhideWhenUsed/>
    <w:rsid w:val="001657A7"/>
    <w:rPr>
      <w:b/>
      <w:bCs/>
    </w:rPr>
  </w:style>
  <w:style w:type="character" w:customStyle="1" w:styleId="CommentSubjectChar">
    <w:name w:val="Comment Subject Char"/>
    <w:basedOn w:val="CommentTextChar"/>
    <w:link w:val="CommentSubject"/>
    <w:uiPriority w:val="99"/>
    <w:semiHidden/>
    <w:rsid w:val="001657A7"/>
    <w:rPr>
      <w:b/>
      <w:bCs/>
      <w:sz w:val="20"/>
      <w:szCs w:val="20"/>
    </w:rPr>
  </w:style>
  <w:style w:type="paragraph" w:styleId="Header">
    <w:name w:val="header"/>
    <w:basedOn w:val="Normal"/>
    <w:link w:val="HeaderChar"/>
    <w:uiPriority w:val="99"/>
    <w:unhideWhenUsed/>
    <w:rsid w:val="00B853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85346"/>
  </w:style>
  <w:style w:type="paragraph" w:styleId="Footer">
    <w:name w:val="footer"/>
    <w:basedOn w:val="Normal"/>
    <w:link w:val="FooterChar"/>
    <w:uiPriority w:val="99"/>
    <w:unhideWhenUsed/>
    <w:rsid w:val="00B853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8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1714</Words>
  <Characters>9776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Stanislav Banchev</dc:creator>
  <cp:lastModifiedBy>Ramadan Birkov</cp:lastModifiedBy>
  <cp:revision>3</cp:revision>
  <dcterms:created xsi:type="dcterms:W3CDTF">2018-03-13T10:02:00Z</dcterms:created>
  <dcterms:modified xsi:type="dcterms:W3CDTF">2018-03-14T15:27:00Z</dcterms:modified>
</cp:coreProperties>
</file>